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FC" w:rsidRDefault="002241AB" w:rsidP="002241AB">
      <w:pPr>
        <w:jc w:val="center"/>
      </w:pPr>
      <w:r>
        <w:t>VELUX FITTING PRICE LIST</w:t>
      </w:r>
    </w:p>
    <w:p w:rsidR="002241AB" w:rsidRDefault="002241AB" w:rsidP="002241AB">
      <w:pPr>
        <w:jc w:val="center"/>
      </w:pPr>
    </w:p>
    <w:p w:rsidR="002241AB" w:rsidRPr="002241AB" w:rsidRDefault="002241AB" w:rsidP="002241AB">
      <w:pPr>
        <w:pStyle w:val="NormalWeb"/>
        <w:rPr>
          <w:rFonts w:ascii="Verdana" w:hAnsi="Verdana"/>
          <w:color w:val="342500"/>
          <w:sz w:val="18"/>
          <w:szCs w:val="18"/>
        </w:rPr>
      </w:pPr>
      <w:r w:rsidRPr="002241AB">
        <w:rPr>
          <w:rFonts w:ascii="Verdana" w:hAnsi="Verdana"/>
          <w:color w:val="342500"/>
          <w:sz w:val="18"/>
          <w:szCs w:val="18"/>
        </w:rPr>
        <w:t>As 5 star accredited VELUX installers (</w:t>
      </w:r>
      <w:proofErr w:type="spellStart"/>
      <w:r w:rsidRPr="002241AB">
        <w:rPr>
          <w:rFonts w:ascii="Verdana" w:hAnsi="Verdana"/>
          <w:color w:val="342500"/>
          <w:sz w:val="18"/>
          <w:szCs w:val="18"/>
        </w:rPr>
        <w:t>Visable</w:t>
      </w:r>
      <w:proofErr w:type="spellEnd"/>
      <w:r w:rsidRPr="002241AB">
        <w:rPr>
          <w:rFonts w:ascii="Verdana" w:hAnsi="Verdana"/>
          <w:color w:val="342500"/>
          <w:sz w:val="18"/>
          <w:szCs w:val="18"/>
        </w:rPr>
        <w:t xml:space="preserve"> on the find an installer webpage at Velux.co.uk) </w:t>
      </w:r>
      <w:proofErr w:type="gramStart"/>
      <w:r w:rsidRPr="002241AB">
        <w:rPr>
          <w:rFonts w:ascii="Verdana" w:hAnsi="Verdana"/>
          <w:color w:val="342500"/>
          <w:sz w:val="18"/>
          <w:szCs w:val="18"/>
        </w:rPr>
        <w:t>You</w:t>
      </w:r>
      <w:proofErr w:type="gramEnd"/>
      <w:r w:rsidRPr="002241AB">
        <w:rPr>
          <w:rFonts w:ascii="Verdana" w:hAnsi="Verdana"/>
          <w:color w:val="342500"/>
          <w:sz w:val="18"/>
          <w:szCs w:val="18"/>
        </w:rPr>
        <w:t xml:space="preserve"> can be sure of a complete professional installation. All of our operatives are fully trained in the installation of VELUX products.</w:t>
      </w:r>
      <w:r w:rsidRPr="002241AB">
        <w:rPr>
          <w:rFonts w:ascii="Verdana" w:hAnsi="Verdana"/>
          <w:color w:val="342500"/>
          <w:sz w:val="18"/>
          <w:szCs w:val="18"/>
        </w:rPr>
        <w:br w:type="textWrapping" w:clear="all"/>
      </w:r>
      <w:bookmarkStart w:id="0" w:name="_GoBack"/>
      <w:bookmarkEnd w:id="0"/>
    </w:p>
    <w:p w:rsidR="002241AB" w:rsidRPr="002241AB" w:rsidRDefault="002241AB" w:rsidP="002241AB">
      <w:pPr>
        <w:pStyle w:val="NormalWeb"/>
        <w:rPr>
          <w:rFonts w:ascii="Verdana" w:hAnsi="Verdana"/>
          <w:color w:val="342500"/>
          <w:sz w:val="18"/>
          <w:szCs w:val="18"/>
        </w:rPr>
      </w:pPr>
      <w:r w:rsidRPr="002241AB">
        <w:rPr>
          <w:rFonts w:ascii="Verdana" w:hAnsi="Verdana"/>
          <w:color w:val="342500"/>
          <w:sz w:val="18"/>
          <w:szCs w:val="18"/>
        </w:rPr>
        <w:pict/>
      </w:r>
      <w:r w:rsidRPr="002241AB">
        <w:rPr>
          <w:rFonts w:ascii="Verdana" w:hAnsi="Verdana"/>
          <w:color w:val="342500"/>
          <w:sz w:val="18"/>
          <w:szCs w:val="18"/>
        </w:rPr>
        <w:t xml:space="preserve">As well as full conversions we also offer a VELUX roof window fitting service whereby, upon your instruction we will supply and fit your VELUX roof window including all associated </w:t>
      </w:r>
      <w:proofErr w:type="spellStart"/>
      <w:r w:rsidRPr="002241AB">
        <w:rPr>
          <w:rFonts w:ascii="Verdana" w:hAnsi="Verdana"/>
          <w:color w:val="342500"/>
          <w:sz w:val="18"/>
          <w:szCs w:val="18"/>
        </w:rPr>
        <w:t>roofwork</w:t>
      </w:r>
      <w:proofErr w:type="spellEnd"/>
      <w:r w:rsidRPr="002241AB">
        <w:rPr>
          <w:rFonts w:ascii="Verdana" w:hAnsi="Verdana"/>
          <w:color w:val="342500"/>
          <w:sz w:val="18"/>
          <w:szCs w:val="18"/>
        </w:rPr>
        <w:t xml:space="preserve"> at a very reasonable cost and done and finished in one day.</w:t>
      </w:r>
      <w:r w:rsidRPr="002241AB">
        <w:rPr>
          <w:rFonts w:ascii="Verdana" w:hAnsi="Verdana"/>
          <w:color w:val="342500"/>
          <w:sz w:val="18"/>
          <w:szCs w:val="18"/>
        </w:rPr>
        <w:br w:type="textWrapping" w:clear="all"/>
      </w:r>
    </w:p>
    <w:p w:rsidR="002241AB" w:rsidRPr="002241AB" w:rsidRDefault="002241AB" w:rsidP="002241AB">
      <w:pPr>
        <w:pStyle w:val="NormalWeb"/>
        <w:rPr>
          <w:rFonts w:ascii="Verdana" w:hAnsi="Verdana"/>
          <w:color w:val="342500"/>
          <w:sz w:val="18"/>
          <w:szCs w:val="18"/>
        </w:rPr>
      </w:pPr>
      <w:r w:rsidRPr="002241AB">
        <w:rPr>
          <w:rFonts w:ascii="Verdana" w:hAnsi="Verdana"/>
          <w:color w:val="342500"/>
          <w:sz w:val="18"/>
          <w:szCs w:val="18"/>
        </w:rPr>
        <w:t>The following are supply and fit prices for GGL centre pivot pine finish VELUX roof windows with standard glazing and standard flashings only.</w:t>
      </w:r>
      <w:r w:rsidRPr="002241AB">
        <w:rPr>
          <w:rFonts w:ascii="Verdana" w:hAnsi="Verdana"/>
          <w:color w:val="342500"/>
          <w:sz w:val="18"/>
          <w:szCs w:val="18"/>
        </w:rPr>
        <w:br w:type="textWrapping" w:clear="all"/>
      </w:r>
    </w:p>
    <w:p w:rsidR="002241AB" w:rsidRPr="002241AB" w:rsidRDefault="002241AB" w:rsidP="002241AB">
      <w:pPr>
        <w:pStyle w:val="NormalWeb"/>
        <w:rPr>
          <w:rFonts w:ascii="Verdana" w:hAnsi="Verdana"/>
          <w:color w:val="342500"/>
          <w:sz w:val="18"/>
          <w:szCs w:val="18"/>
        </w:rPr>
      </w:pPr>
      <w:r w:rsidRPr="002241AB">
        <w:rPr>
          <w:rFonts w:ascii="Verdana" w:hAnsi="Verdana"/>
          <w:color w:val="342500"/>
          <w:sz w:val="18"/>
          <w:szCs w:val="18"/>
        </w:rPr>
        <w:t>All the following prices are both to supply and fit one VELUX roof window including all timber work to the inside of an unconverted attic and all associated roof work to completion.</w:t>
      </w:r>
      <w:r w:rsidRPr="002241AB">
        <w:rPr>
          <w:rFonts w:ascii="Verdana" w:hAnsi="Verdana"/>
          <w:color w:val="342500"/>
          <w:sz w:val="18"/>
          <w:szCs w:val="18"/>
        </w:rPr>
        <w:br/>
      </w:r>
      <w:r w:rsidRPr="002241AB">
        <w:rPr>
          <w:rFonts w:ascii="Verdana" w:hAnsi="Verdana"/>
          <w:color w:val="342500"/>
          <w:sz w:val="18"/>
          <w:szCs w:val="18"/>
        </w:rPr>
        <w:br/>
        <w:t>Should internal finishing work be required to match in with an existing finished conversion, we will be happy to supply a comprehensive and competitive quote.</w:t>
      </w:r>
      <w:r w:rsidRPr="002241AB">
        <w:rPr>
          <w:rFonts w:ascii="Verdana" w:hAnsi="Verdana"/>
          <w:color w:val="342500"/>
          <w:sz w:val="18"/>
          <w:szCs w:val="18"/>
        </w:rPr>
        <w:br/>
      </w:r>
      <w:r w:rsidRPr="002241AB">
        <w:rPr>
          <w:rFonts w:ascii="Verdana" w:hAnsi="Verdana"/>
          <w:color w:val="342500"/>
          <w:sz w:val="18"/>
          <w:szCs w:val="18"/>
        </w:rPr>
        <w:br/>
        <w:t>Once you’ve decided on the size of window you require please simply contact us with your name address and we’ll have your new window fitted as soon as possible.</w:t>
      </w:r>
      <w:r w:rsidRPr="002241AB">
        <w:rPr>
          <w:rFonts w:ascii="Verdana" w:hAnsi="Verdana"/>
          <w:color w:val="342500"/>
          <w:sz w:val="18"/>
          <w:szCs w:val="18"/>
        </w:rPr>
        <w:br w:type="textWrapping" w:clear="all"/>
      </w:r>
    </w:p>
    <w:p w:rsidR="002241AB" w:rsidRPr="002241AB" w:rsidRDefault="002241AB" w:rsidP="002241AB">
      <w:pPr>
        <w:pStyle w:val="NormalWeb"/>
        <w:rPr>
          <w:rFonts w:ascii="Verdana" w:hAnsi="Verdana"/>
          <w:color w:val="342500"/>
          <w:sz w:val="18"/>
          <w:szCs w:val="18"/>
        </w:rPr>
      </w:pPr>
      <w:r w:rsidRPr="002241AB">
        <w:rPr>
          <w:rFonts w:ascii="Verdana" w:hAnsi="Verdana"/>
          <w:color w:val="342500"/>
          <w:sz w:val="18"/>
          <w:szCs w:val="18"/>
        </w:rPr>
        <w:t>GGL-C02     550mm X  780mm    £615.00</w:t>
      </w:r>
      <w:r w:rsidRPr="002241AB">
        <w:rPr>
          <w:rFonts w:ascii="Verdana" w:hAnsi="Verdana"/>
          <w:color w:val="342500"/>
          <w:sz w:val="18"/>
          <w:szCs w:val="18"/>
        </w:rPr>
        <w:br/>
      </w:r>
      <w:r w:rsidRPr="002241AB">
        <w:rPr>
          <w:rFonts w:ascii="Verdana" w:hAnsi="Verdana"/>
          <w:color w:val="342500"/>
          <w:sz w:val="18"/>
          <w:szCs w:val="18"/>
        </w:rPr>
        <w:br/>
        <w:t>GGL-C04     550mm X  980mm    £630.00</w:t>
      </w:r>
      <w:r w:rsidRPr="002241AB">
        <w:rPr>
          <w:rFonts w:ascii="Verdana" w:hAnsi="Verdana"/>
          <w:color w:val="342500"/>
          <w:sz w:val="18"/>
          <w:szCs w:val="18"/>
        </w:rPr>
        <w:br/>
      </w:r>
      <w:r w:rsidRPr="002241AB">
        <w:rPr>
          <w:rFonts w:ascii="Verdana" w:hAnsi="Verdana"/>
          <w:color w:val="342500"/>
          <w:sz w:val="18"/>
          <w:szCs w:val="18"/>
        </w:rPr>
        <w:br/>
        <w:t>GGL-C06     550mm X 1180mm   £640.00</w:t>
      </w:r>
      <w:r w:rsidRPr="002241AB">
        <w:rPr>
          <w:rFonts w:ascii="Verdana" w:hAnsi="Verdana"/>
          <w:color w:val="342500"/>
          <w:sz w:val="18"/>
          <w:szCs w:val="18"/>
        </w:rPr>
        <w:br/>
      </w:r>
      <w:r w:rsidRPr="002241AB">
        <w:rPr>
          <w:rFonts w:ascii="Verdana" w:hAnsi="Verdana"/>
          <w:color w:val="342500"/>
          <w:sz w:val="18"/>
          <w:szCs w:val="18"/>
        </w:rPr>
        <w:br/>
        <w:t>GGL-M04    780mm X  980mm    £650.00</w:t>
      </w:r>
      <w:r w:rsidRPr="002241AB">
        <w:rPr>
          <w:rFonts w:ascii="Verdana" w:hAnsi="Verdana"/>
          <w:color w:val="342500"/>
          <w:sz w:val="18"/>
          <w:szCs w:val="18"/>
        </w:rPr>
        <w:br/>
      </w:r>
      <w:r w:rsidRPr="002241AB">
        <w:rPr>
          <w:rFonts w:ascii="Verdana" w:hAnsi="Verdana"/>
          <w:color w:val="342500"/>
          <w:sz w:val="18"/>
          <w:szCs w:val="18"/>
        </w:rPr>
        <w:br/>
        <w:t>GGL-F06    660mm X 1180mm    £675.00</w:t>
      </w:r>
      <w:r w:rsidRPr="002241AB">
        <w:rPr>
          <w:rFonts w:ascii="Verdana" w:hAnsi="Verdana"/>
          <w:color w:val="342500"/>
          <w:sz w:val="18"/>
          <w:szCs w:val="18"/>
        </w:rPr>
        <w:br/>
      </w:r>
      <w:r w:rsidRPr="002241AB">
        <w:rPr>
          <w:rFonts w:ascii="Verdana" w:hAnsi="Verdana"/>
          <w:color w:val="342500"/>
          <w:sz w:val="18"/>
          <w:szCs w:val="18"/>
        </w:rPr>
        <w:br/>
        <w:t>GGL-M06   780mm X 1180mm    £685.00</w:t>
      </w:r>
      <w:r w:rsidRPr="002241AB">
        <w:rPr>
          <w:rFonts w:ascii="Verdana" w:hAnsi="Verdana"/>
          <w:color w:val="342500"/>
          <w:sz w:val="18"/>
          <w:szCs w:val="18"/>
        </w:rPr>
        <w:br/>
      </w:r>
      <w:r w:rsidRPr="002241AB">
        <w:rPr>
          <w:rFonts w:ascii="Verdana" w:hAnsi="Verdana"/>
          <w:color w:val="342500"/>
          <w:sz w:val="18"/>
          <w:szCs w:val="18"/>
        </w:rPr>
        <w:br/>
        <w:t>GGL-M08    780mm X  1400mm  £720.00</w:t>
      </w:r>
      <w:r w:rsidRPr="002241AB">
        <w:rPr>
          <w:rFonts w:ascii="Verdana" w:hAnsi="Verdana"/>
          <w:color w:val="342500"/>
          <w:sz w:val="18"/>
          <w:szCs w:val="18"/>
        </w:rPr>
        <w:br/>
      </w:r>
      <w:r w:rsidRPr="002241AB">
        <w:rPr>
          <w:rFonts w:ascii="Verdana" w:hAnsi="Verdana"/>
          <w:color w:val="342500"/>
          <w:sz w:val="18"/>
          <w:szCs w:val="18"/>
        </w:rPr>
        <w:br/>
        <w:t>GGL-U04   1340mm X  980mm   £775.00</w:t>
      </w:r>
      <w:r w:rsidRPr="002241AB">
        <w:rPr>
          <w:rFonts w:ascii="Verdana" w:hAnsi="Verdana"/>
          <w:color w:val="342500"/>
          <w:sz w:val="18"/>
          <w:szCs w:val="18"/>
        </w:rPr>
        <w:br/>
      </w:r>
      <w:r w:rsidRPr="002241AB">
        <w:rPr>
          <w:rFonts w:ascii="Verdana" w:hAnsi="Verdana"/>
          <w:color w:val="342500"/>
          <w:sz w:val="18"/>
          <w:szCs w:val="18"/>
        </w:rPr>
        <w:br/>
        <w:t>GGL-P08   940mm X  1400mm   £785.00</w:t>
      </w:r>
      <w:r w:rsidRPr="002241AB">
        <w:rPr>
          <w:rFonts w:ascii="Verdana" w:hAnsi="Verdana"/>
          <w:color w:val="342500"/>
          <w:sz w:val="18"/>
          <w:szCs w:val="18"/>
        </w:rPr>
        <w:br/>
      </w:r>
      <w:r w:rsidRPr="002241AB">
        <w:rPr>
          <w:rFonts w:ascii="Verdana" w:hAnsi="Verdana"/>
          <w:color w:val="342500"/>
          <w:sz w:val="18"/>
          <w:szCs w:val="18"/>
        </w:rPr>
        <w:br/>
        <w:t>GGL-S06   1140mm x 1180mm  £795.00</w:t>
      </w:r>
      <w:r w:rsidRPr="002241AB">
        <w:rPr>
          <w:rFonts w:ascii="Verdana" w:hAnsi="Verdana"/>
          <w:color w:val="342500"/>
          <w:sz w:val="18"/>
          <w:szCs w:val="18"/>
        </w:rPr>
        <w:br/>
      </w:r>
      <w:r w:rsidRPr="002241AB">
        <w:rPr>
          <w:rFonts w:ascii="Verdana" w:hAnsi="Verdana"/>
          <w:color w:val="342500"/>
          <w:sz w:val="18"/>
          <w:szCs w:val="18"/>
        </w:rPr>
        <w:br/>
        <w:t>GGL-P10   940mm X 1600mm   £810.00</w:t>
      </w:r>
      <w:r w:rsidRPr="002241AB">
        <w:rPr>
          <w:rFonts w:ascii="Verdana" w:hAnsi="Verdana"/>
          <w:color w:val="342500"/>
          <w:sz w:val="18"/>
          <w:szCs w:val="18"/>
        </w:rPr>
        <w:br/>
      </w:r>
      <w:r w:rsidRPr="002241AB">
        <w:rPr>
          <w:rFonts w:ascii="Verdana" w:hAnsi="Verdana"/>
          <w:color w:val="342500"/>
          <w:sz w:val="18"/>
          <w:szCs w:val="18"/>
        </w:rPr>
        <w:br/>
        <w:t>GGL-UO8  1340mm X 1400mm  £870.00</w:t>
      </w:r>
    </w:p>
    <w:p w:rsidR="002241AB" w:rsidRPr="008647A1" w:rsidRDefault="002241AB" w:rsidP="002241AB"/>
    <w:sectPr w:rsidR="002241AB" w:rsidRPr="008647A1" w:rsidSect="003210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30"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B4" w:rsidRDefault="00C66AB4" w:rsidP="00EC683C">
      <w:r>
        <w:separator/>
      </w:r>
    </w:p>
  </w:endnote>
  <w:endnote w:type="continuationSeparator" w:id="0">
    <w:p w:rsidR="00C66AB4" w:rsidRDefault="00C66AB4" w:rsidP="00EC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8A" w:rsidRDefault="00321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3C" w:rsidRDefault="00EC683C">
    <w:pPr>
      <w:pStyle w:val="Footer"/>
    </w:pPr>
    <w:r>
      <w:t xml:space="preserve">                                                                    </w:t>
    </w:r>
    <w:r>
      <w:rPr>
        <w:noProof/>
      </w:rPr>
      <w:drawing>
        <wp:inline distT="0" distB="0" distL="0" distR="0" wp14:anchorId="097EBC30" wp14:editId="5E063DF3">
          <wp:extent cx="1090518" cy="388961"/>
          <wp:effectExtent l="0" t="0" r="0" b="0"/>
          <wp:docPr id="4" name="Picture 4" descr="C:\Users\Ray\Pictures\footer_rh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y\Pictures\footer_rhs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32" cy="389002"/>
                  </a:xfrm>
                  <a:prstGeom prst="rect">
                    <a:avLst/>
                  </a:prstGeom>
                  <a:noFill/>
                  <a:ln>
                    <a:noFill/>
                  </a:ln>
                </pic:spPr>
              </pic:pic>
            </a:graphicData>
          </a:graphic>
        </wp:inline>
      </w:drawing>
    </w:r>
    <w:r>
      <w:t xml:space="preserve">  </w:t>
    </w:r>
    <w:r>
      <w:rPr>
        <w:noProof/>
      </w:rPr>
      <w:drawing>
        <wp:inline distT="0" distB="0" distL="0" distR="0" wp14:anchorId="30837C2E" wp14:editId="3F3FAF93">
          <wp:extent cx="334092" cy="552363"/>
          <wp:effectExtent l="0" t="0" r="8890" b="635"/>
          <wp:docPr id="5" name="Picture 5" descr="C:\Users\Ray\Pictures\ci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y\Pictures\cit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164" cy="552483"/>
                  </a:xfrm>
                  <a:prstGeom prst="rect">
                    <a:avLst/>
                  </a:prstGeom>
                  <a:noFill/>
                  <a:ln>
                    <a:noFill/>
                  </a:ln>
                </pic:spPr>
              </pic:pic>
            </a:graphicData>
          </a:graphic>
        </wp:inline>
      </w:drawing>
    </w:r>
  </w:p>
  <w:p w:rsidR="00EC683C" w:rsidRDefault="00EC6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8A" w:rsidRDefault="00321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B4" w:rsidRDefault="00C66AB4" w:rsidP="00EC683C">
      <w:r>
        <w:separator/>
      </w:r>
    </w:p>
  </w:footnote>
  <w:footnote w:type="continuationSeparator" w:id="0">
    <w:p w:rsidR="00C66AB4" w:rsidRDefault="00C66AB4" w:rsidP="00EC6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8A" w:rsidRDefault="00321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3C" w:rsidRDefault="00BE442A" w:rsidP="00EC683C">
    <w:pPr>
      <w:jc w:val="center"/>
      <w:rPr>
        <w:b/>
        <w:bCs/>
        <w:color w:val="000000"/>
        <w:sz w:val="32"/>
        <w:szCs w:val="32"/>
        <w:u w:val="single"/>
        <w:lang w:val="en-US"/>
      </w:rPr>
    </w:pPr>
    <w:r>
      <w:rPr>
        <w:b/>
        <w:bCs/>
        <w:color w:val="000000"/>
        <w:sz w:val="32"/>
        <w:szCs w:val="32"/>
        <w:u w:val="single"/>
        <w:lang w:val="en-US"/>
      </w:rPr>
      <w:t>Edinburgh &amp; Fife Attic Conversions</w:t>
    </w:r>
  </w:p>
  <w:p w:rsidR="00EC683C" w:rsidRDefault="00EC683C" w:rsidP="00EC683C">
    <w:pPr>
      <w:jc w:val="center"/>
      <w:rPr>
        <w:b/>
        <w:bCs/>
        <w:color w:val="000000"/>
        <w:sz w:val="28"/>
        <w:szCs w:val="28"/>
        <w:u w:val="single"/>
        <w:lang w:val="en-US"/>
      </w:rPr>
    </w:pPr>
    <w:r>
      <w:rPr>
        <w:b/>
        <w:bCs/>
        <w:color w:val="000000"/>
        <w:sz w:val="28"/>
        <w:szCs w:val="28"/>
        <w:u w:val="single"/>
        <w:lang w:val="en-US"/>
      </w:rPr>
      <w:t>The loft conversion specialists</w:t>
    </w:r>
  </w:p>
  <w:p w:rsidR="00EC683C" w:rsidRDefault="00C66AB4" w:rsidP="00EC683C">
    <w:pPr>
      <w:jc w:val="center"/>
      <w:rPr>
        <w:b/>
        <w:bCs/>
        <w:color w:val="000000"/>
        <w:sz w:val="28"/>
        <w:szCs w:val="28"/>
        <w:u w:val="single"/>
        <w:lang w:val="en-US"/>
      </w:rPr>
    </w:pPr>
    <w:hyperlink r:id="rId1" w:history="1">
      <w:r w:rsidR="00EC683C">
        <w:rPr>
          <w:b/>
          <w:bCs/>
          <w:color w:val="000000"/>
          <w:sz w:val="28"/>
          <w:szCs w:val="28"/>
          <w:u w:val="single"/>
          <w:lang w:val="en-US"/>
        </w:rPr>
        <w:t>www.edinburghattics.com</w:t>
      </w:r>
    </w:hyperlink>
  </w:p>
  <w:p w:rsidR="00EC683C" w:rsidRPr="00BE442A" w:rsidRDefault="00BE442A" w:rsidP="00EC683C">
    <w:pPr>
      <w:jc w:val="center"/>
      <w:rPr>
        <w:b/>
        <w:bCs/>
        <w:sz w:val="28"/>
        <w:szCs w:val="28"/>
        <w:u w:val="single"/>
        <w:lang w:val="en-US"/>
      </w:rPr>
    </w:pPr>
    <w:r>
      <w:rPr>
        <w:b/>
        <w:bCs/>
        <w:sz w:val="28"/>
        <w:szCs w:val="28"/>
        <w:u w:val="single"/>
        <w:lang w:val="en-US"/>
      </w:rPr>
      <w:t>kingdomconversions@hotmail.co.uk</w:t>
    </w:r>
  </w:p>
  <w:p w:rsidR="00EC683C" w:rsidRPr="000F218E" w:rsidRDefault="000F218E" w:rsidP="00EC683C">
    <w:pPr>
      <w:jc w:val="center"/>
      <w:rPr>
        <w:bCs/>
        <w:color w:val="000000"/>
        <w:sz w:val="18"/>
        <w:szCs w:val="18"/>
        <w:lang w:val="en-US"/>
      </w:rPr>
    </w:pPr>
    <w:r>
      <w:rPr>
        <w:bCs/>
        <w:color w:val="000000"/>
        <w:sz w:val="18"/>
        <w:szCs w:val="18"/>
        <w:lang w:val="en-US"/>
      </w:rPr>
      <w:t xml:space="preserve">13 </w:t>
    </w:r>
    <w:proofErr w:type="spellStart"/>
    <w:r>
      <w:rPr>
        <w:bCs/>
        <w:color w:val="000000"/>
        <w:sz w:val="18"/>
        <w:szCs w:val="18"/>
        <w:lang w:val="en-US"/>
      </w:rPr>
      <w:t>Tarmachan</w:t>
    </w:r>
    <w:proofErr w:type="spellEnd"/>
    <w:r>
      <w:rPr>
        <w:bCs/>
        <w:color w:val="000000"/>
        <w:sz w:val="18"/>
        <w:szCs w:val="18"/>
        <w:lang w:val="en-US"/>
      </w:rPr>
      <w:t xml:space="preserve"> Road, </w:t>
    </w:r>
    <w:proofErr w:type="spellStart"/>
    <w:r>
      <w:rPr>
        <w:bCs/>
        <w:color w:val="000000"/>
        <w:sz w:val="18"/>
        <w:szCs w:val="18"/>
        <w:lang w:val="en-US"/>
      </w:rPr>
      <w:t>Dunfermline</w:t>
    </w:r>
    <w:proofErr w:type="spellEnd"/>
    <w:r>
      <w:rPr>
        <w:bCs/>
        <w:color w:val="000000"/>
        <w:sz w:val="18"/>
        <w:szCs w:val="18"/>
        <w:lang w:val="en-US"/>
      </w:rPr>
      <w:t xml:space="preserve"> KY11 8JF</w:t>
    </w:r>
  </w:p>
  <w:p w:rsidR="00EC683C" w:rsidRDefault="00EC683C" w:rsidP="00EC683C">
    <w:pPr>
      <w:jc w:val="center"/>
      <w:rPr>
        <w:b/>
        <w:bCs/>
        <w:color w:val="000000"/>
        <w:sz w:val="16"/>
        <w:szCs w:val="16"/>
        <w:u w:val="single"/>
        <w:lang w:val="en-US"/>
      </w:rPr>
    </w:pPr>
  </w:p>
  <w:p w:rsidR="00EC683C" w:rsidRDefault="00EC6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8A" w:rsidRDefault="00321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0CF"/>
    <w:multiLevelType w:val="hybridMultilevel"/>
    <w:tmpl w:val="FE6C4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C73C7"/>
    <w:multiLevelType w:val="hybridMultilevel"/>
    <w:tmpl w:val="DAC65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52B75"/>
    <w:multiLevelType w:val="hybridMultilevel"/>
    <w:tmpl w:val="BD82B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B64A8D"/>
    <w:multiLevelType w:val="hybridMultilevel"/>
    <w:tmpl w:val="973E96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29E3573"/>
    <w:multiLevelType w:val="hybridMultilevel"/>
    <w:tmpl w:val="7514E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DD4945"/>
    <w:multiLevelType w:val="hybridMultilevel"/>
    <w:tmpl w:val="62887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3C"/>
    <w:rsid w:val="0005028C"/>
    <w:rsid w:val="00050B68"/>
    <w:rsid w:val="000F218E"/>
    <w:rsid w:val="000F50D0"/>
    <w:rsid w:val="00181E8D"/>
    <w:rsid w:val="002241AB"/>
    <w:rsid w:val="00234538"/>
    <w:rsid w:val="00294D71"/>
    <w:rsid w:val="002B06B5"/>
    <w:rsid w:val="002C1B5F"/>
    <w:rsid w:val="003020CF"/>
    <w:rsid w:val="0032108A"/>
    <w:rsid w:val="0032481D"/>
    <w:rsid w:val="003F64A1"/>
    <w:rsid w:val="00556620"/>
    <w:rsid w:val="00624668"/>
    <w:rsid w:val="00634277"/>
    <w:rsid w:val="0064214D"/>
    <w:rsid w:val="00783E64"/>
    <w:rsid w:val="008229B3"/>
    <w:rsid w:val="008647A1"/>
    <w:rsid w:val="0087236F"/>
    <w:rsid w:val="008A7063"/>
    <w:rsid w:val="00903EB5"/>
    <w:rsid w:val="0096110C"/>
    <w:rsid w:val="0099029D"/>
    <w:rsid w:val="00AA56CD"/>
    <w:rsid w:val="00AB619C"/>
    <w:rsid w:val="00AD40F2"/>
    <w:rsid w:val="00B74A9B"/>
    <w:rsid w:val="00BD183B"/>
    <w:rsid w:val="00BE442A"/>
    <w:rsid w:val="00C35CFC"/>
    <w:rsid w:val="00C66AB4"/>
    <w:rsid w:val="00C977CC"/>
    <w:rsid w:val="00E33F2B"/>
    <w:rsid w:val="00EC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3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83C"/>
    <w:rPr>
      <w:rFonts w:ascii="Tahoma" w:hAnsi="Tahoma" w:cs="Tahoma"/>
      <w:sz w:val="16"/>
      <w:szCs w:val="16"/>
    </w:rPr>
  </w:style>
  <w:style w:type="character" w:customStyle="1" w:styleId="BalloonTextChar">
    <w:name w:val="Balloon Text Char"/>
    <w:basedOn w:val="DefaultParagraphFont"/>
    <w:link w:val="BalloonText"/>
    <w:uiPriority w:val="99"/>
    <w:semiHidden/>
    <w:rsid w:val="00EC683C"/>
    <w:rPr>
      <w:rFonts w:ascii="Tahoma" w:eastAsiaTheme="minorEastAsia" w:hAnsi="Tahoma" w:cs="Tahoma"/>
      <w:kern w:val="28"/>
      <w:sz w:val="16"/>
      <w:szCs w:val="16"/>
      <w:lang w:eastAsia="en-GB"/>
    </w:rPr>
  </w:style>
  <w:style w:type="paragraph" w:styleId="Header">
    <w:name w:val="header"/>
    <w:basedOn w:val="Normal"/>
    <w:link w:val="HeaderChar"/>
    <w:uiPriority w:val="99"/>
    <w:unhideWhenUsed/>
    <w:rsid w:val="00EC683C"/>
    <w:pPr>
      <w:tabs>
        <w:tab w:val="center" w:pos="4513"/>
        <w:tab w:val="right" w:pos="9026"/>
      </w:tabs>
    </w:pPr>
  </w:style>
  <w:style w:type="character" w:customStyle="1" w:styleId="HeaderChar">
    <w:name w:val="Header Char"/>
    <w:basedOn w:val="DefaultParagraphFont"/>
    <w:link w:val="Header"/>
    <w:uiPriority w:val="99"/>
    <w:rsid w:val="00EC683C"/>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EC683C"/>
    <w:pPr>
      <w:tabs>
        <w:tab w:val="center" w:pos="4513"/>
        <w:tab w:val="right" w:pos="9026"/>
      </w:tabs>
    </w:pPr>
  </w:style>
  <w:style w:type="character" w:customStyle="1" w:styleId="FooterChar">
    <w:name w:val="Footer Char"/>
    <w:basedOn w:val="DefaultParagraphFont"/>
    <w:link w:val="Footer"/>
    <w:uiPriority w:val="99"/>
    <w:rsid w:val="00EC683C"/>
    <w:rPr>
      <w:rFonts w:ascii="Times New Roman" w:eastAsiaTheme="minorEastAsia" w:hAnsi="Times New Roman" w:cs="Times New Roman"/>
      <w:kern w:val="28"/>
      <w:sz w:val="20"/>
      <w:szCs w:val="20"/>
      <w:lang w:eastAsia="en-GB"/>
    </w:rPr>
  </w:style>
  <w:style w:type="character" w:styleId="Hyperlink">
    <w:name w:val="Hyperlink"/>
    <w:basedOn w:val="DefaultParagraphFont"/>
    <w:uiPriority w:val="99"/>
    <w:unhideWhenUsed/>
    <w:rsid w:val="008A7063"/>
    <w:rPr>
      <w:color w:val="0079A4" w:themeColor="hyperlink"/>
      <w:u w:val="single"/>
    </w:rPr>
  </w:style>
  <w:style w:type="paragraph" w:styleId="ListParagraph">
    <w:name w:val="List Paragraph"/>
    <w:basedOn w:val="Normal"/>
    <w:uiPriority w:val="34"/>
    <w:qFormat/>
    <w:rsid w:val="008647A1"/>
    <w:pPr>
      <w:ind w:left="720"/>
      <w:contextualSpacing/>
    </w:pPr>
  </w:style>
  <w:style w:type="paragraph" w:styleId="NormalWeb">
    <w:name w:val="Normal (Web)"/>
    <w:basedOn w:val="Normal"/>
    <w:uiPriority w:val="99"/>
    <w:semiHidden/>
    <w:unhideWhenUsed/>
    <w:rsid w:val="002241AB"/>
    <w:pPr>
      <w:widowControl/>
      <w:overflowPunct/>
      <w:autoSpaceDE/>
      <w:autoSpaceDN/>
      <w:adjustRightInd/>
      <w:spacing w:before="100" w:beforeAutospacing="1" w:after="100" w:afterAutospacing="1"/>
    </w:pPr>
    <w:rPr>
      <w:rFonts w:eastAsia="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3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83C"/>
    <w:rPr>
      <w:rFonts w:ascii="Tahoma" w:hAnsi="Tahoma" w:cs="Tahoma"/>
      <w:sz w:val="16"/>
      <w:szCs w:val="16"/>
    </w:rPr>
  </w:style>
  <w:style w:type="character" w:customStyle="1" w:styleId="BalloonTextChar">
    <w:name w:val="Balloon Text Char"/>
    <w:basedOn w:val="DefaultParagraphFont"/>
    <w:link w:val="BalloonText"/>
    <w:uiPriority w:val="99"/>
    <w:semiHidden/>
    <w:rsid w:val="00EC683C"/>
    <w:rPr>
      <w:rFonts w:ascii="Tahoma" w:eastAsiaTheme="minorEastAsia" w:hAnsi="Tahoma" w:cs="Tahoma"/>
      <w:kern w:val="28"/>
      <w:sz w:val="16"/>
      <w:szCs w:val="16"/>
      <w:lang w:eastAsia="en-GB"/>
    </w:rPr>
  </w:style>
  <w:style w:type="paragraph" w:styleId="Header">
    <w:name w:val="header"/>
    <w:basedOn w:val="Normal"/>
    <w:link w:val="HeaderChar"/>
    <w:uiPriority w:val="99"/>
    <w:unhideWhenUsed/>
    <w:rsid w:val="00EC683C"/>
    <w:pPr>
      <w:tabs>
        <w:tab w:val="center" w:pos="4513"/>
        <w:tab w:val="right" w:pos="9026"/>
      </w:tabs>
    </w:pPr>
  </w:style>
  <w:style w:type="character" w:customStyle="1" w:styleId="HeaderChar">
    <w:name w:val="Header Char"/>
    <w:basedOn w:val="DefaultParagraphFont"/>
    <w:link w:val="Header"/>
    <w:uiPriority w:val="99"/>
    <w:rsid w:val="00EC683C"/>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EC683C"/>
    <w:pPr>
      <w:tabs>
        <w:tab w:val="center" w:pos="4513"/>
        <w:tab w:val="right" w:pos="9026"/>
      </w:tabs>
    </w:pPr>
  </w:style>
  <w:style w:type="character" w:customStyle="1" w:styleId="FooterChar">
    <w:name w:val="Footer Char"/>
    <w:basedOn w:val="DefaultParagraphFont"/>
    <w:link w:val="Footer"/>
    <w:uiPriority w:val="99"/>
    <w:rsid w:val="00EC683C"/>
    <w:rPr>
      <w:rFonts w:ascii="Times New Roman" w:eastAsiaTheme="minorEastAsia" w:hAnsi="Times New Roman" w:cs="Times New Roman"/>
      <w:kern w:val="28"/>
      <w:sz w:val="20"/>
      <w:szCs w:val="20"/>
      <w:lang w:eastAsia="en-GB"/>
    </w:rPr>
  </w:style>
  <w:style w:type="character" w:styleId="Hyperlink">
    <w:name w:val="Hyperlink"/>
    <w:basedOn w:val="DefaultParagraphFont"/>
    <w:uiPriority w:val="99"/>
    <w:unhideWhenUsed/>
    <w:rsid w:val="008A7063"/>
    <w:rPr>
      <w:color w:val="0079A4" w:themeColor="hyperlink"/>
      <w:u w:val="single"/>
    </w:rPr>
  </w:style>
  <w:style w:type="paragraph" w:styleId="ListParagraph">
    <w:name w:val="List Paragraph"/>
    <w:basedOn w:val="Normal"/>
    <w:uiPriority w:val="34"/>
    <w:qFormat/>
    <w:rsid w:val="008647A1"/>
    <w:pPr>
      <w:ind w:left="720"/>
      <w:contextualSpacing/>
    </w:pPr>
  </w:style>
  <w:style w:type="paragraph" w:styleId="NormalWeb">
    <w:name w:val="Normal (Web)"/>
    <w:basedOn w:val="Normal"/>
    <w:uiPriority w:val="99"/>
    <w:semiHidden/>
    <w:unhideWhenUsed/>
    <w:rsid w:val="002241AB"/>
    <w:pPr>
      <w:widowControl/>
      <w:overflowPunct/>
      <w:autoSpaceDE/>
      <w:autoSpaceDN/>
      <w:adjustRightInd/>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hyperlink" Target="http://www.edinburghattics.com/" TargetMode="External"/></Relationships>
</file>

<file path=word/theme/theme1.xml><?xml version="1.0" encoding="utf-8"?>
<a:theme xmlns:a="http://schemas.openxmlformats.org/drawingml/2006/main" name="Tradeshow">
  <a:themeElements>
    <a:clrScheme name="Tradeshow">
      <a:dk1>
        <a:srgbClr val="3F3F3F"/>
      </a:dk1>
      <a:lt1>
        <a:srgbClr val="FFFFFF"/>
      </a:lt1>
      <a:dk2>
        <a:srgbClr val="7DAFC3"/>
      </a:dk2>
      <a:lt2>
        <a:srgbClr val="E5E4DF"/>
      </a:lt2>
      <a:accent1>
        <a:srgbClr val="7C959A"/>
      </a:accent1>
      <a:accent2>
        <a:srgbClr val="DB8631"/>
      </a:accent2>
      <a:accent3>
        <a:srgbClr val="E3CC5A"/>
      </a:accent3>
      <a:accent4>
        <a:srgbClr val="ACADA8"/>
      </a:accent4>
      <a:accent5>
        <a:srgbClr val="927C61"/>
      </a:accent5>
      <a:accent6>
        <a:srgbClr val="B3B435"/>
      </a:accent6>
      <a:hlink>
        <a:srgbClr val="0079A4"/>
      </a:hlink>
      <a:folHlink>
        <a:srgbClr val="595959"/>
      </a:folHlink>
    </a:clrScheme>
    <a:fontScheme name="Tradeshow">
      <a:majorFont>
        <a:latin typeface="Arial Black"/>
        <a:ea typeface=""/>
        <a:cs typeface=""/>
        <a:font script="Jpan" typeface="ＭＳ Ｐゴシック"/>
        <a:font script="Hang" typeface="HY견고딕"/>
        <a:font script="Hans" typeface="宋体"/>
        <a:font script="Hant" typeface="新細明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ndara"/>
        <a:ea typeface=""/>
        <a:cs typeface=""/>
        <a:font script="Jpan" typeface="ＭＳ Ｐゴシック"/>
        <a:font script="Hang" typeface="HY견명조"/>
        <a:font script="Hans" typeface="华文楷体"/>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2013-10-13T19:25:00Z</dcterms:created>
  <dcterms:modified xsi:type="dcterms:W3CDTF">2013-10-13T19:25:00Z</dcterms:modified>
</cp:coreProperties>
</file>